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8" w:type="dxa"/>
        <w:jc w:val="left"/>
        <w:tblInd w:w="-935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11"/>
        <w:gridCol w:w="791"/>
        <w:gridCol w:w="1"/>
        <w:gridCol w:w="851"/>
        <w:gridCol w:w="1"/>
        <w:gridCol w:w="1197"/>
        <w:gridCol w:w="672"/>
        <w:gridCol w:w="1205"/>
        <w:gridCol w:w="355"/>
        <w:gridCol w:w="1274"/>
        <w:gridCol w:w="247"/>
        <w:gridCol w:w="1170"/>
        <w:gridCol w:w="686"/>
        <w:gridCol w:w="22"/>
        <w:gridCol w:w="567"/>
        <w:gridCol w:w="1318"/>
      </w:tblGrid>
      <w:tr>
        <w:trPr>
          <w:trHeight w:val="165" w:hRule="atLeast"/>
        </w:trPr>
        <w:tc>
          <w:tcPr>
            <w:tcW w:w="2555" w:type="dxa"/>
            <w:gridSpan w:val="5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713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color w:val="auto"/>
                <w:kern w:val="0"/>
                <w:sz w:val="20"/>
                <w:szCs w:val="20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val="auto"/>
                <w:kern w:val="0"/>
                <w:sz w:val="20"/>
                <w:szCs w:val="20"/>
                <w:lang w:val="pl-PL" w:eastAsia="zh-CN" w:bidi="ar-SA"/>
              </w:rPr>
              <w:t>Toksykologia kliniczna</w:t>
            </w:r>
          </w:p>
        </w:tc>
      </w:tr>
      <w:tr>
        <w:trPr>
          <w:trHeight w:val="165" w:hRule="atLeast"/>
        </w:trPr>
        <w:tc>
          <w:tcPr>
            <w:tcW w:w="2555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7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2555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7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2555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87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2555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7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2555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7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2555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7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2555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7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2555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87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III</w:t>
            </w:r>
          </w:p>
        </w:tc>
      </w:tr>
      <w:tr>
        <w:trPr>
          <w:trHeight w:val="165" w:hRule="atLeast"/>
        </w:trPr>
        <w:tc>
          <w:tcPr>
            <w:tcW w:w="2555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7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>
        <w:trPr>
          <w:trHeight w:val="165" w:hRule="atLeast"/>
        </w:trPr>
        <w:tc>
          <w:tcPr>
            <w:tcW w:w="2555" w:type="dxa"/>
            <w:gridSpan w:val="5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7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8" w:type="dxa"/>
            <w:gridSpan w:val="1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11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2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870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8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11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79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/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852" w:type="dxa"/>
            <w:gridSpan w:val="2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color w:val="auto"/>
                <w:kern w:val="0"/>
                <w:sz w:val="20"/>
                <w:szCs w:val="20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pl-PL" w:eastAsia="zh-CN" w:bidi="ar-SA"/>
              </w:rPr>
              <w:t>15</w:t>
            </w:r>
          </w:p>
        </w:tc>
        <w:tc>
          <w:tcPr>
            <w:tcW w:w="1870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color w:val="auto"/>
                <w:kern w:val="0"/>
                <w:sz w:val="20"/>
                <w:szCs w:val="20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pl-PL" w:eastAsia="zh-CN" w:bidi="ar-SA"/>
              </w:rPr>
              <w:t>15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8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11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9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2" w:type="dxa"/>
            <w:gridSpan w:val="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870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8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713" w:type="dxa"/>
            <w:gridSpan w:val="11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Wiadomości z zakresu biologii, fizyki i chemii na poziomie maturalnym.</w:t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713" w:type="dxa"/>
            <w:gridSpan w:val="11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spacing w:beforeAutospacing="0" w:before="0" w:afterAutospacing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 w:val="false"/>
                <w:bCs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Zapoznanie studentów z wiedzą dotyczącą postępowania diagnostyczno-leczniczego w przypadkach ostrych i przewlekłych zatruć substancjami chemicznymi w tym lekami, a także z osobami uzależnionymi od substancji psychoaktywnych. Przekazywana wiedza będzie koncentrować się na praktycznych aspektach postępowania z pacjentem zatrutym/uzależnionym m.in.: - ogólnych zasad postępowania z pacjentem zatrutym z uwzględnieniem zachowania warunków bezpieczeństwa zarówno dla pacjentka jak i personelu medycznego, osób towarzyszących zdarzeniu, - ocenie narażenia na ksenobiotyk, w szczególności zbieraniu wywiadu chorobowego z uwzględnieniem rodzaju ksenobiotyku, dawki, drogi narażenia, czasu narażenia, objawów, intencji, - zapoznanie studentów z toksydromami, metodami dekontaminacji zewnętrznej i wewnętrznej, metodami ograniczającymi toksyczność ksenobiotyków jak i przyśpieszającymi ich eliminację, - przekazanie wiedzy dotyczącej wskazań do stosowania specyficznych odtrutek, minimalizacji efektów toksycznych ksenobiotyków, metod zwiększających eliminację ksenobiotyków, - przekazanie podstawowej wiedzy w zakresie nadużywania substancji psychoaktywnych, postępowania w przypadku nadużycia/ostrego zatrucia substancją psychoaktywną, uzależnienia, zespołu odstawienia, - zapoznanie z postępowaniem na wypadek masowych zdarzeń/katastrof chemicznych, ataków terrorystycznych z użyciem substancji chemicznych</w:t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713" w:type="dxa"/>
            <w:gridSpan w:val="11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Wykłady: wykład problemowy, wykład konwersatoryjny, wykład z prezentacja.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Ćwiczenia: dyskusja dydaktyczna, praca w grupach, rozwiązywanie zadania, analiza przypadków.</w:t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713" w:type="dxa"/>
            <w:gridSpan w:val="11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prezentacja multimedialna, wyposażenie pracowni.</w:t>
            </w:r>
          </w:p>
        </w:tc>
      </w:tr>
      <w:tr>
        <w:trPr>
          <w:trHeight w:val="277" w:hRule="atLeast"/>
        </w:trPr>
        <w:tc>
          <w:tcPr>
            <w:tcW w:w="9361" w:type="dxa"/>
            <w:gridSpan w:val="1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wiedzy: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806" w:type="dxa"/>
            <w:gridSpan w:val="8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0"/>
                <w:szCs w:val="20"/>
                <w:lang w:eastAsia="zh-CN"/>
              </w:rPr>
              <w:t>C.W17. mechanizmy prowadzące do stanów nagłego zagrożenia zdrowotnego</w:t>
            </w:r>
          </w:p>
        </w:tc>
        <w:tc>
          <w:tcPr>
            <w:tcW w:w="1907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Egzamin pisemny, test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aktywność w trakcie zajęć</w:t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C.W18. mechanizmy działania podstawowych grup produktów leczniczych podawanych samodzielnie przez ratownika medycznego</w:t>
            </w:r>
          </w:p>
        </w:tc>
        <w:tc>
          <w:tcPr>
            <w:tcW w:w="190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C.W21. zasady dekontaminacji</w:t>
            </w:r>
          </w:p>
        </w:tc>
        <w:tc>
          <w:tcPr>
            <w:tcW w:w="190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C.W25. zasady badania przedmiotowego w zakresie niezbędnym do prowadzenia medycznych czynności ratunkowych i udzielania świadczeń zdrowotnych innych niż medyczne czynności ratunkowe;</w:t>
            </w:r>
          </w:p>
        </w:tc>
        <w:tc>
          <w:tcPr>
            <w:tcW w:w="190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C.W29. przyczyny, objawy, zasady diagnozowania i postępowania terapeutycznego w zespole ostrej niewydolności oddechowej, zaostrzeniu przewlekłej obturacyjnej choroby płuc, astmie, ostrych stanach zapalnych dróg oddechowych i odmie opłucnowej;</w:t>
            </w:r>
          </w:p>
        </w:tc>
        <w:tc>
          <w:tcPr>
            <w:tcW w:w="190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C.W3</w:t>
            </w: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0 przyczyny, objawy i postępowanie w ostrej niewydolności nerek</w:t>
            </w:r>
          </w:p>
        </w:tc>
        <w:tc>
          <w:tcPr>
            <w:tcW w:w="190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pl-PL" w:eastAsia="en-US" w:bidi="ar-SA"/>
              </w:rPr>
              <w:t>C.W</w:t>
            </w:r>
            <w:r>
              <w:rPr>
                <w:rFonts w:eastAsia="Calibri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lang w:val="pl-PL" w:eastAsia="en-US" w:bidi="ar-SA"/>
              </w:rPr>
              <w:t>36 przyczyny, objawy, zasady diagnozowania i postępowania terapeutycznego w najczęstszych chorobach układu nerwowego;</w:t>
            </w:r>
          </w:p>
        </w:tc>
        <w:tc>
          <w:tcPr>
            <w:tcW w:w="190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C.W52 zasady zabezpieczania materiału biologicznego do badań</w:t>
            </w:r>
          </w:p>
        </w:tc>
        <w:tc>
          <w:tcPr>
            <w:tcW w:w="190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C.W85 zagrożenia środowiskowe;</w:t>
            </w:r>
          </w:p>
        </w:tc>
        <w:tc>
          <w:tcPr>
            <w:tcW w:w="190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C.W107 mechanizmy, cele i zasady leczenia uzależnień od substancji psychoaktywnych;</w:t>
            </w:r>
          </w:p>
        </w:tc>
        <w:tc>
          <w:tcPr>
            <w:tcW w:w="190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C.W108 podstawowe zagadnienia z zakresu medycyny sądowej.</w:t>
            </w:r>
          </w:p>
        </w:tc>
        <w:tc>
          <w:tcPr>
            <w:tcW w:w="190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 Absolwent potrafi:</w:t>
            </w:r>
          </w:p>
        </w:tc>
        <w:tc>
          <w:tcPr>
            <w:tcW w:w="680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C.U1. ocenić stan pacjenta w celu ustalenia sposobu postępowania ratunkowego</w:t>
            </w:r>
          </w:p>
        </w:tc>
        <w:tc>
          <w:tcPr>
            <w:tcW w:w="1907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Sprawdzian praktyczny</w:t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806" w:type="dxa"/>
            <w:gridSpan w:val="8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C.U4. przeprowadzać badanie przedmiotowe pacjenta;</w:t>
            </w:r>
          </w:p>
        </w:tc>
        <w:tc>
          <w:tcPr>
            <w:tcW w:w="190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806" w:type="dxa"/>
            <w:gridSpan w:val="8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C.U7. przeprowadzić wywiad medyczny z pacjentem dorosłym w zakresie niezbędnym do podjęcia medycznych czynności ratunkowych</w:t>
            </w:r>
          </w:p>
        </w:tc>
        <w:tc>
          <w:tcPr>
            <w:tcW w:w="190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806" w:type="dxa"/>
            <w:gridSpan w:val="8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C.U8. ocenić stan świadomości pacjenta</w:t>
            </w:r>
          </w:p>
        </w:tc>
        <w:tc>
          <w:tcPr>
            <w:tcW w:w="190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806" w:type="dxa"/>
            <w:gridSpan w:val="8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C.U10. przeprowadzić badanie fizykalne pacjenta dorosłego w zakresie niezbędnym do ustalenia jego stanu</w:t>
            </w:r>
          </w:p>
        </w:tc>
        <w:tc>
          <w:tcPr>
            <w:tcW w:w="190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806" w:type="dxa"/>
            <w:gridSpan w:val="8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C.U15. ocenić i opisać stan somatyczny i psychiczny pacjenta</w:t>
            </w:r>
          </w:p>
        </w:tc>
        <w:tc>
          <w:tcPr>
            <w:tcW w:w="190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806" w:type="dxa"/>
            <w:gridSpan w:val="8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C.U18. monitorować stan pacjenta metodami nieinwazyjnymi</w:t>
            </w:r>
          </w:p>
        </w:tc>
        <w:tc>
          <w:tcPr>
            <w:tcW w:w="190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C.U22. zakładać zgłębnik dożołądkowy;</w:t>
            </w:r>
          </w:p>
        </w:tc>
        <w:tc>
          <w:tcPr>
            <w:tcW w:w="190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sz w:val="20"/>
                <w:szCs w:val="20"/>
                <w:lang w:eastAsia="pl-PL"/>
              </w:rPr>
              <w:t>C.U25. identyfikować na miejscu zdarzenia sytuację narażenia na czynniki szkodliwe i niebezpieczne</w:t>
            </w:r>
          </w:p>
        </w:tc>
        <w:tc>
          <w:tcPr>
            <w:tcW w:w="190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6" w:type="dxa"/>
            <w:gridSpan w:val="8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C.U33. zinterpretować wyniki podstawowych badań toksykologicznych</w:t>
            </w:r>
          </w:p>
        </w:tc>
        <w:tc>
          <w:tcPr>
            <w:tcW w:w="190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6" w:type="dxa"/>
            <w:gridSpan w:val="8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C.U34. rozpoznać toksydromy</w:t>
            </w:r>
          </w:p>
        </w:tc>
        <w:tc>
          <w:tcPr>
            <w:tcW w:w="190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6" w:type="dxa"/>
            <w:gridSpan w:val="8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C.U35. oceniać wskazania do transportu pacjenta do ośrodka toksykologicznego, hiperbarycznego, replantacyjnego i kardiologii inwazyjnej oraz centrum leczenia oparzeń, centrum urazowego lub centrum urazowego dla dzieci;</w:t>
            </w:r>
          </w:p>
        </w:tc>
        <w:tc>
          <w:tcPr>
            <w:tcW w:w="190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6" w:type="dxa"/>
            <w:gridSpan w:val="8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C.U36. szacować niebezpieczeństwo toksykologiczne w określonych grupach wiekowych i w różnych stanach klinicznych</w:t>
            </w:r>
          </w:p>
        </w:tc>
        <w:tc>
          <w:tcPr>
            <w:tcW w:w="190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6" w:type="dxa"/>
            <w:gridSpan w:val="8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C.U37. powiązać obrazy uszkodzeń tkankowych i narządowych z objawami klinicznymi choroby</w:t>
            </w:r>
          </w:p>
        </w:tc>
        <w:tc>
          <w:tcPr>
            <w:tcW w:w="190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6" w:type="dxa"/>
            <w:gridSpan w:val="8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C.U50 pobierać krew oraz zabezpieczać materiał do badań laboratoryjnych, mikrobiologicznych i toksykologicznych;</w:t>
            </w:r>
          </w:p>
        </w:tc>
        <w:tc>
          <w:tcPr>
            <w:tcW w:w="190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895" w:hRule="atLeast"/>
        </w:trPr>
        <w:tc>
          <w:tcPr>
            <w:tcW w:w="2555" w:type="dxa"/>
            <w:gridSpan w:val="5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806" w:type="dxa"/>
            <w:gridSpan w:val="8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K.4. organizowania pracy własnej i współpracy w zespole specjalistów, w tym z przedstawicielami innych zawodów medycznych, także w środowisku wielokulturowym i wielonarodowościowym;</w:t>
            </w:r>
          </w:p>
        </w:tc>
        <w:tc>
          <w:tcPr>
            <w:tcW w:w="1907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Obserwacja przez opiekuna / nauczyciela prowadzącego</w:t>
            </w:r>
          </w:p>
        </w:tc>
      </w:tr>
      <w:tr>
        <w:trPr>
          <w:trHeight w:val="361" w:hRule="atLeast"/>
        </w:trPr>
        <w:tc>
          <w:tcPr>
            <w:tcW w:w="2555" w:type="dxa"/>
            <w:gridSpan w:val="5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6" w:type="dxa"/>
            <w:gridSpan w:val="8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K.6. kierowania się dobrem pacjenta;</w:t>
            </w:r>
          </w:p>
        </w:tc>
        <w:tc>
          <w:tcPr>
            <w:tcW w:w="190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standard kształcenia</w:t>
            </w:r>
          </w:p>
        </w:tc>
        <w:tc>
          <w:tcPr>
            <w:tcW w:w="8713" w:type="dxa"/>
            <w:gridSpan w:val="11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36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0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6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361" w:type="dxa"/>
            <w:gridSpan w:val="13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  <w:t>Podstawowe pojęcia w toksykologii klinicznej: ksenobiotyk, toksyna, ostre/przewlekłe zatrucie, toksykokinetyka, toksykodynamika, mechanizmy działania ksenobiotyków</w:t>
            </w:r>
          </w:p>
        </w:tc>
        <w:tc>
          <w:tcPr>
            <w:tcW w:w="1907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Ogólne zasady rozpoznawania zatruć: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•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wywiad - ocena narażenia na substancje chemiczne (rodzaje toksyn, droga narażenia, czas narażenia, okoliczności zatrucia, intencja zatrucia)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•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badanie fizykalne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•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badania laboratoryjne i toksykologiczne oraz ich interpretacja</w:t>
            </w:r>
          </w:p>
        </w:tc>
        <w:tc>
          <w:tcPr>
            <w:tcW w:w="190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Zespoły objawów klinicznych - toksydromy</w:t>
            </w:r>
          </w:p>
        </w:tc>
        <w:tc>
          <w:tcPr>
            <w:tcW w:w="190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Postępowanie z chorym zatrutym: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•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dekontaminacja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•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stabilizacja stanu pacjenta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•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rozpoznawania uszkodzeń narządowych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•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metody ograniczające toksyczność i zwiększające eliminację ksenobiotyków</w:t>
            </w:r>
          </w:p>
        </w:tc>
        <w:tc>
          <w:tcPr>
            <w:tcW w:w="190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36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Postępowanie w przypadkach narażenia środowiskowego, katastrofy chemicznej, ataku terorytycznego z użyciem substancji chemicznej.</w:t>
            </w:r>
          </w:p>
        </w:tc>
        <w:tc>
          <w:tcPr>
            <w:tcW w:w="190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Postępowanie diagnostyczno-lecznicze w wybranych zatruciach z uwzględnieniem patomechanizmu zatrucia: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•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leki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•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substancje chemiczne (wąglowodory, środki ochrony roślin, substancje żrące, gazy drażniące, gazy duszące, alkohole, toksyny pochodzenia zwierzącego i roślinnego)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•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substancje psychoaktywne</w:t>
            </w:r>
          </w:p>
        </w:tc>
        <w:tc>
          <w:tcPr>
            <w:tcW w:w="190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Uzależnienia od substancji psychoaktywnych: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•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ostre zatrucia substancjami psychoaktywnymi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•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przewlekłę zatrucia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•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uzależnienia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•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zespoły odstawienia</w:t>
            </w:r>
          </w:p>
        </w:tc>
        <w:tc>
          <w:tcPr>
            <w:tcW w:w="190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361" w:type="dxa"/>
            <w:gridSpan w:val="13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Identyfikacja toksydromów na podstawie objawów klinicznych oraz postępowanie</w:t>
            </w:r>
          </w:p>
        </w:tc>
        <w:tc>
          <w:tcPr>
            <w:tcW w:w="1907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Zapobieganie wchłaniania się trucizny z różnych miejsc wchłaniania oraz stosowanie odtrutek</w:t>
            </w:r>
          </w:p>
        </w:tc>
        <w:tc>
          <w:tcPr>
            <w:tcW w:w="1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Pobieranie materiału biologicznego do badań i interpretacja wyników badań</w:t>
            </w:r>
          </w:p>
        </w:tc>
        <w:tc>
          <w:tcPr>
            <w:tcW w:w="1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Sytuacje narażenia na czynniki szkodliwe z uwzględnieniem zatruć przewlekłych; zapobieganie i postępowanie w przypadku narażenia</w:t>
            </w:r>
          </w:p>
        </w:tc>
        <w:tc>
          <w:tcPr>
            <w:tcW w:w="1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Analiza działań niepożądanych i możliwych interakcji wybranych grup leków</w:t>
            </w:r>
          </w:p>
        </w:tc>
        <w:tc>
          <w:tcPr>
            <w:tcW w:w="1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Szacowanie niebezpieczeństwa toksykologicznego w określonych grupach wiekowych i w różnych sytuacjach klinicznych</w:t>
            </w:r>
          </w:p>
        </w:tc>
        <w:tc>
          <w:tcPr>
            <w:tcW w:w="1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1" w:type="dxa"/>
            <w:gridSpan w:val="13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Komputerowe bazy danych toksykologicznych</w:t>
            </w:r>
          </w:p>
        </w:tc>
        <w:tc>
          <w:tcPr>
            <w:tcW w:w="1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1" w:type="dxa"/>
            <w:gridSpan w:val="13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Zasady organizacji i leczenia w przypadkach katastrof chemicznych</w:t>
            </w:r>
          </w:p>
        </w:tc>
        <w:tc>
          <w:tcPr>
            <w:tcW w:w="1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 wielokrotnego wyboru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≥70% wymaganej punkt.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 wielokrotnego wyboru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703" w:type="dxa"/>
            <w:gridSpan w:val="3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204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5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703" w:type="dxa"/>
            <w:gridSpan w:val="3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204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5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703" w:type="dxa"/>
            <w:gridSpan w:val="3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204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5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3"/>
                <w:numId w:val="3"/>
              </w:numPr>
              <w:spacing w:lineRule="auto" w:line="240" w:before="0" w:after="0"/>
              <w:ind w:hanging="360" w:left="373"/>
              <w:contextualSpacing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Zarys toksykologii klinicznej dla studentów i lekarzy pod redakcją Janusz Pacha, Wydawnictwo Uniwersytetu Jagiellońskiego, Kraków</w:t>
            </w:r>
          </w:p>
          <w:p>
            <w:pPr>
              <w:pStyle w:val="ListParagraph"/>
              <w:numPr>
                <w:ilvl w:val="3"/>
                <w:numId w:val="3"/>
              </w:numPr>
              <w:spacing w:lineRule="auto" w:line="240" w:before="0" w:after="0"/>
              <w:ind w:hanging="360" w:left="373"/>
              <w:contextualSpacing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Toksykologia Tom 1 i 2 Kamil Jurowski, Wojciech Piekoszewski , PZWL Warszawa 2020</w:t>
            </w:r>
          </w:p>
          <w:p>
            <w:pPr>
              <w:pStyle w:val="ListParagraph"/>
              <w:numPr>
                <w:ilvl w:val="3"/>
                <w:numId w:val="3"/>
              </w:numPr>
              <w:spacing w:lineRule="auto" w:line="240" w:before="0" w:after="0"/>
              <w:ind w:hanging="360" w:left="37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Ostre stany zagrożenia życia w chorobach wewnętrznych; red. Krystyn Sosada; PZWL, Warszawa 2016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hanging="360" w:left="373"/>
              <w:contextualSpacing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Zaawansowane zabiegi resuscytacyjne i wybrane stany nagłe pod redakcją Jarosława Gucwy i Tomasza Madeja. Medycyna Praktyczna. Kraków</w:t>
            </w:r>
          </w:p>
          <w:p>
            <w:pPr>
              <w:pStyle w:val="ListParagraph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733"/>
              <w:contextualSpacing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Book Antiqua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Comment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TekstpodstawowywcityZnak"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Comment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user" w:customStyle="1">
    <w:name w:val="Zawartość tabeli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user" w:customStyle="1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Application>LibreOffice/25.8.5.2$Windows_X86_64 LibreOffice_project/9c8b85f387cc00a89945a79c9e6239f32e450ac2</Application>
  <AppVersion>15.0000</AppVersion>
  <DocSecurity>0</DocSecurity>
  <Pages>4</Pages>
  <Words>1393</Words>
  <Characters>10255</Characters>
  <CharactersWithSpaces>11461</CharactersWithSpaces>
  <Paragraphs>208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2026-04-26T22:31:32Z</dcterms:modified>
  <cp:revision>235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